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87" w:rsidRPr="00EA26AB" w:rsidRDefault="00DF6B87" w:rsidP="00DF6B87">
      <w:pPr>
        <w:spacing w:after="0" w:line="240" w:lineRule="auto"/>
        <w:jc w:val="center"/>
        <w:rPr>
          <w:rFonts w:ascii="Arial" w:hAnsi="Arial" w:cs="Arial"/>
          <w:b/>
          <w:sz w:val="24"/>
        </w:rPr>
      </w:pPr>
      <w:r w:rsidRPr="00EA26AB">
        <w:rPr>
          <w:rFonts w:ascii="Arial" w:hAnsi="Arial" w:cs="Arial"/>
          <w:b/>
          <w:sz w:val="24"/>
        </w:rPr>
        <w:t>О Д Г О В О Р</w:t>
      </w:r>
    </w:p>
    <w:p w:rsidR="00DF6B87" w:rsidRDefault="00DF6B87" w:rsidP="00DF6B87">
      <w:pPr>
        <w:spacing w:after="0" w:line="240" w:lineRule="auto"/>
        <w:jc w:val="center"/>
        <w:rPr>
          <w:rFonts w:ascii="Arial" w:hAnsi="Arial" w:cs="Arial"/>
          <w:sz w:val="24"/>
        </w:rPr>
      </w:pPr>
    </w:p>
    <w:p w:rsidR="00DF6B87" w:rsidRDefault="00DF6B87" w:rsidP="00DF6B87">
      <w:pPr>
        <w:spacing w:after="0" w:line="240" w:lineRule="auto"/>
        <w:jc w:val="center"/>
        <w:rPr>
          <w:rFonts w:ascii="MAC C Swiss" w:hAnsi="MAC C Swiss"/>
          <w:sz w:val="24"/>
          <w:lang w:val="en-US"/>
        </w:rPr>
      </w:pPr>
      <w:r>
        <w:rPr>
          <w:rFonts w:ascii="Arial" w:hAnsi="Arial" w:cs="Arial"/>
          <w:sz w:val="24"/>
        </w:rPr>
        <w:t xml:space="preserve">на пратеничкото прашање </w:t>
      </w:r>
      <w:r>
        <w:rPr>
          <w:rFonts w:ascii="Arial" w:hAnsi="Arial" w:cs="Arial"/>
          <w:sz w:val="24"/>
          <w:lang w:val="en-US"/>
        </w:rPr>
        <w:t>од</w:t>
      </w:r>
      <w:r>
        <w:rPr>
          <w:rFonts w:ascii="MAC C Swiss" w:hAnsi="MAC C Swiss"/>
          <w:sz w:val="24"/>
          <w:lang w:val="en-US"/>
        </w:rPr>
        <w:t xml:space="preserve"> </w:t>
      </w:r>
      <w:r>
        <w:rPr>
          <w:rFonts w:ascii="Arial" w:hAnsi="Arial" w:cs="Arial"/>
          <w:sz w:val="24"/>
          <w:lang w:val="en-US"/>
        </w:rPr>
        <w:t>пратеникот</w:t>
      </w:r>
      <w:r>
        <w:rPr>
          <w:rFonts w:ascii="MAC C Swiss" w:hAnsi="MAC C Swiss"/>
          <w:sz w:val="24"/>
          <w:lang w:val="en-US"/>
        </w:rPr>
        <w:t xml:space="preserve"> </w:t>
      </w:r>
      <w:r>
        <w:rPr>
          <w:rFonts w:ascii="Arial" w:hAnsi="Arial" w:cs="Arial"/>
          <w:sz w:val="24"/>
        </w:rPr>
        <w:t>Јован Лазарев</w:t>
      </w:r>
      <w:r>
        <w:rPr>
          <w:rFonts w:ascii="MAC C Swiss" w:hAnsi="MAC C Swiss"/>
          <w:sz w:val="24"/>
          <w:lang w:val="en-US"/>
        </w:rPr>
        <w:t xml:space="preserve"> </w:t>
      </w:r>
      <w:r>
        <w:rPr>
          <w:rFonts w:ascii="Arial" w:hAnsi="Arial" w:cs="Arial"/>
          <w:sz w:val="24"/>
          <w:lang w:val="en-US"/>
        </w:rPr>
        <w:t>поставено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81</w:t>
      </w:r>
      <w:r>
        <w:rPr>
          <w:rFonts w:ascii="MAC C Swiss" w:hAnsi="MAC C Swiss"/>
          <w:sz w:val="24"/>
          <w:lang w:val="en-US"/>
        </w:rPr>
        <w:t>-</w:t>
      </w:r>
      <w:r>
        <w:rPr>
          <w:rFonts w:ascii="Arial" w:hAnsi="Arial" w:cs="Arial"/>
          <w:sz w:val="24"/>
          <w:lang w:val="en-US"/>
        </w:rPr>
        <w:t>та</w:t>
      </w:r>
      <w:r>
        <w:rPr>
          <w:rFonts w:ascii="MAC C Swiss" w:hAnsi="MAC C Swiss"/>
          <w:sz w:val="24"/>
          <w:lang w:val="en-US"/>
        </w:rPr>
        <w:t xml:space="preserve"> </w:t>
      </w:r>
      <w:r>
        <w:rPr>
          <w:rFonts w:ascii="Arial" w:hAnsi="Arial" w:cs="Arial"/>
          <w:sz w:val="24"/>
          <w:lang w:val="en-US"/>
        </w:rPr>
        <w:t>седница</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Собранието</w:t>
      </w:r>
      <w:r>
        <w:rPr>
          <w:rFonts w:ascii="MAC C Swiss" w:hAnsi="MAC C Swiss"/>
          <w:sz w:val="24"/>
          <w:lang w:val="en-US"/>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lang w:val="en-US"/>
        </w:rPr>
        <w:t>Република</w:t>
      </w:r>
      <w:r>
        <w:rPr>
          <w:rFonts w:ascii="MAC C Swiss" w:hAnsi="MAC C Swiss"/>
          <w:sz w:val="24"/>
          <w:lang w:val="en-US"/>
        </w:rPr>
        <w:t xml:space="preserve"> </w:t>
      </w:r>
      <w:r>
        <w:rPr>
          <w:rFonts w:ascii="Arial" w:hAnsi="Arial" w:cs="Arial"/>
          <w:sz w:val="24"/>
          <w:lang w:val="en-US"/>
        </w:rPr>
        <w:t>Македонија</w:t>
      </w:r>
      <w:r>
        <w:rPr>
          <w:rFonts w:ascii="MAC C Swiss" w:hAnsi="MAC C Swiss"/>
          <w:sz w:val="24"/>
          <w:lang w:val="en-US"/>
        </w:rPr>
        <w:t xml:space="preserve"> </w:t>
      </w:r>
      <w:r>
        <w:rPr>
          <w:rFonts w:ascii="Arial" w:hAnsi="Arial" w:cs="Arial"/>
          <w:sz w:val="24"/>
          <w:lang w:val="en-US"/>
        </w:rPr>
        <w:t>одржана</w:t>
      </w:r>
      <w:r>
        <w:rPr>
          <w:rFonts w:ascii="MAC C Swiss" w:hAnsi="MAC C Swiss"/>
          <w:sz w:val="24"/>
          <w:lang w:val="en-US"/>
        </w:rPr>
        <w:t xml:space="preserve"> </w:t>
      </w:r>
    </w:p>
    <w:p w:rsidR="00DF6B87" w:rsidRDefault="00DF6B87" w:rsidP="00DF6B87">
      <w:pPr>
        <w:rPr>
          <w:rFonts w:ascii="Arial" w:hAnsi="Arial" w:cs="Arial"/>
          <w:sz w:val="24"/>
        </w:rPr>
      </w:pPr>
      <w:r>
        <w:rPr>
          <w:rFonts w:ascii="Arial" w:hAnsi="Arial" w:cs="Arial"/>
          <w:sz w:val="24"/>
        </w:rPr>
        <w:t xml:space="preserve">                                            </w:t>
      </w:r>
      <w:r>
        <w:rPr>
          <w:rFonts w:ascii="Arial" w:hAnsi="Arial" w:cs="Arial"/>
          <w:sz w:val="24"/>
          <w:lang w:val="en-US"/>
        </w:rPr>
        <w:t>на</w:t>
      </w:r>
      <w:r>
        <w:rPr>
          <w:rFonts w:ascii="MAC C Swiss" w:hAnsi="MAC C Swiss"/>
          <w:sz w:val="24"/>
          <w:lang w:val="en-US"/>
        </w:rPr>
        <w:t xml:space="preserve"> </w:t>
      </w:r>
      <w:r>
        <w:rPr>
          <w:rFonts w:ascii="Arial" w:hAnsi="Arial" w:cs="Arial"/>
          <w:sz w:val="24"/>
        </w:rPr>
        <w:t>26</w:t>
      </w:r>
      <w:r>
        <w:rPr>
          <w:rFonts w:ascii="MAC C Swiss" w:hAnsi="MAC C Swiss"/>
          <w:sz w:val="24"/>
          <w:lang w:val="en-US"/>
        </w:rPr>
        <w:t xml:space="preserve"> </w:t>
      </w:r>
      <w:r>
        <w:rPr>
          <w:rFonts w:ascii="Arial" w:hAnsi="Arial" w:cs="Arial"/>
          <w:sz w:val="24"/>
          <w:lang w:val="en-US"/>
        </w:rPr>
        <w:t>ноември</w:t>
      </w:r>
      <w:r>
        <w:rPr>
          <w:rFonts w:ascii="MAC C Swiss" w:hAnsi="MAC C Swiss"/>
          <w:sz w:val="24"/>
          <w:lang w:val="en-US"/>
        </w:rPr>
        <w:t xml:space="preserve"> 2009 </w:t>
      </w:r>
      <w:r>
        <w:rPr>
          <w:rFonts w:ascii="Arial" w:hAnsi="Arial" w:cs="Arial"/>
          <w:sz w:val="24"/>
          <w:lang w:val="en-US"/>
        </w:rPr>
        <w:t>година</w:t>
      </w:r>
    </w:p>
    <w:p w:rsidR="00DF6B87" w:rsidRPr="00DF6B87" w:rsidRDefault="00DF6B87" w:rsidP="00DF6B87">
      <w:pPr>
        <w:spacing w:before="60"/>
        <w:jc w:val="both"/>
        <w:rPr>
          <w:rFonts w:ascii="Arial" w:hAnsi="Arial" w:cs="Arial"/>
          <w:sz w:val="24"/>
        </w:rPr>
      </w:pPr>
      <w:r w:rsidRPr="00DF6B87">
        <w:rPr>
          <w:rFonts w:ascii="Arial" w:hAnsi="Arial" w:cs="Arial"/>
          <w:sz w:val="24"/>
        </w:rPr>
        <w:t>Имено, производството на тутун и тутунски производи зазема мошне значајно место во агроиндустрискиот комплекс и игра важна улога во економскиот развој на целокупното стопанство на Република Македонија, со оглед на висината на девизните средства, кои што Република Македонија ги остварува врз основа на извоз на оваа култура. Во текот на 2009 година производството на тутун се одвиваше на површина од 21 илјада 348,96 хектари, што претставува зголемување во однос на  минатогодишната површина на која што беше третирана културата тутун. Од ова се склучени  7774 договори со тутунските претпријатија. Од ориенталните ароматични  типови на тутун, Прилеп, Јака, Џабел, Басмак и полуориенталскиот тип на тутун Отља, сега се очекуваат околу 19,5 илјади тони на тутун. Од страна на тутунските претпријатија по општини и населени места пријавени се вкупно 323 откупни пунктови, и тоа за откуп на суров тутун од родот во 2009 година.</w:t>
      </w:r>
    </w:p>
    <w:p w:rsidR="00DF6B87" w:rsidRPr="00DF6B87" w:rsidRDefault="00DF6B87" w:rsidP="00DF6B87">
      <w:pPr>
        <w:spacing w:before="60"/>
        <w:jc w:val="both"/>
        <w:rPr>
          <w:rFonts w:ascii="Arial" w:hAnsi="Arial" w:cs="Arial"/>
          <w:sz w:val="24"/>
        </w:rPr>
      </w:pPr>
      <w:r w:rsidRPr="00DF6B87">
        <w:rPr>
          <w:rFonts w:ascii="Arial" w:hAnsi="Arial" w:cs="Arial"/>
          <w:sz w:val="24"/>
        </w:rPr>
        <w:t>Морам да напоменам дека Државнио тинспекторат за земјоделство, согласно со Законот за тутун и тутунски производи изврши контроли уште кај производителот на семенски материјал на тутун во јавната научна установа Институт за тутун Прилеп, преку контролите на пријавените семенски посеви. Пред се, пред да се пушти во промет, како и за тутунските претпријатија за откуп на испорачаните количини на тутунското семе, во делот на декларирањето.</w:t>
      </w:r>
    </w:p>
    <w:p w:rsidR="00DF6B87" w:rsidRPr="00DF6B87" w:rsidRDefault="00DF6B87" w:rsidP="00DF6B87">
      <w:pPr>
        <w:spacing w:before="60"/>
        <w:jc w:val="both"/>
        <w:rPr>
          <w:rFonts w:ascii="Arial" w:hAnsi="Arial" w:cs="Arial"/>
          <w:sz w:val="24"/>
        </w:rPr>
      </w:pPr>
      <w:r w:rsidRPr="00DF6B87">
        <w:rPr>
          <w:rFonts w:ascii="Arial" w:hAnsi="Arial" w:cs="Arial"/>
          <w:sz w:val="24"/>
        </w:rPr>
        <w:t>Исто така  се извршени контроли во делот на склучувањето на договорите за производство и откупот меѓу производителите и тутунските претпријатија, како и на издавањето картони во подрачните единици. Контроли се вршени со цел да се утврди дали истите ги исполнуваат сите услови во врска со откупот кои мора да бидат во согласност со Правилникот на просториите за откуп, сместување, чување, индустриска обработка, соодветна опрема за откуп, како и соодветен простор во кој ќе се сместува обработениот тутун. При откупот вршена е и контрола дали пријавените лица за откуп имаат лиценца за проценка која се издава од страна на Министерството, како и тоа дали проценката на тутунот се врши јавно, во присуство на претставник од Здружението на тутунопроизводителите. Пред самиот откуп на тутун Државниот инспекторат за земјоделство, кој согласно Законот за тутун и тутунски производи изготви и достави работен налог, со цел благовремено да се реализираат активностите и со кои беа задолжени да претставуваат неделен табеларен преглед за откупени количини од типови, класи, како и просечна откупна цена, за да се следи динамиката на откупот.</w:t>
      </w:r>
    </w:p>
    <w:p w:rsidR="00DF6B87" w:rsidRPr="00DF6B87" w:rsidRDefault="00DF6B87" w:rsidP="00DF6B87">
      <w:pPr>
        <w:spacing w:before="60"/>
        <w:jc w:val="both"/>
        <w:rPr>
          <w:rFonts w:ascii="Arial" w:hAnsi="Arial" w:cs="Arial"/>
          <w:sz w:val="24"/>
        </w:rPr>
      </w:pPr>
      <w:r w:rsidRPr="00DF6B87">
        <w:rPr>
          <w:rFonts w:ascii="Arial" w:hAnsi="Arial" w:cs="Arial"/>
          <w:sz w:val="24"/>
        </w:rPr>
        <w:lastRenderedPageBreak/>
        <w:t>Од вкупно 8 тутунски претпријатија за откуп на суров тутун во лист од родот од 2009 година, благовремено имаат обезбедено финансиски средства шест тутунски претпријатија. Од преостанатите две очекуваме тоа да го сторат во следниот период. Инаку, да напоменам, откупот започна на 16.11. 2009 годин, со што Министерството за земјоделство, шумарство и водостопанство излезе во пресрет на барањата на тутунопроизводителите, тоа да биде месец дена од последниот законски рок кој што е предвиден.</w:t>
      </w:r>
    </w:p>
    <w:p w:rsidR="00DF6B87" w:rsidRPr="00DF6B87" w:rsidRDefault="00DF6B87" w:rsidP="00DF6B87">
      <w:pPr>
        <w:spacing w:before="60"/>
        <w:jc w:val="both"/>
        <w:rPr>
          <w:rFonts w:ascii="Arial" w:hAnsi="Arial" w:cs="Arial"/>
          <w:sz w:val="24"/>
        </w:rPr>
      </w:pPr>
      <w:r w:rsidRPr="00DF6B87">
        <w:rPr>
          <w:rFonts w:ascii="Arial" w:hAnsi="Arial" w:cs="Arial"/>
          <w:sz w:val="24"/>
        </w:rPr>
        <w:t>Во овој временски период просечна откупна цена за различни типови на тутун, од сит еоткупни претпријатија во Република Македонија за 2009 година е следнава: за типот Јака просечна цена 156,95 денари за килограм. За типот Прилеп просечна цена е 162,30 денари за килограм. За типот Басма просечна цена е 199,74 денари за килограм, а за типот Џевел, просечна цена е 223,52 денари за килограм. Односно, постигнатата просечна откупна цена за ориентални и ароматични тутуни во овој период во 2009 година изнесува 182,22 денари, во однос на просечната цена од минатата година, која што изнесува 167,42 денари по килограм.</w:t>
      </w:r>
    </w:p>
    <w:p w:rsidR="00DF6B87" w:rsidRPr="00DF6B87" w:rsidRDefault="00DF6B87" w:rsidP="00DF6B87">
      <w:pPr>
        <w:spacing w:before="60"/>
        <w:jc w:val="both"/>
        <w:rPr>
          <w:rFonts w:ascii="Arial" w:hAnsi="Arial" w:cs="Arial"/>
          <w:sz w:val="24"/>
        </w:rPr>
      </w:pPr>
      <w:r w:rsidRPr="00DF6B87">
        <w:rPr>
          <w:rFonts w:ascii="Arial" w:hAnsi="Arial" w:cs="Arial"/>
          <w:sz w:val="24"/>
        </w:rPr>
        <w:t>Морам да напоменам дека Министерството за земјоделство, шумарство и водостопанство континуирано ќе врши надзор и контрола и ќе бидеме постојано присутни на теренот, за состојбите при откупот на суровиот тутун во лист.</w:t>
      </w:r>
    </w:p>
    <w:p w:rsidR="00C43425" w:rsidRPr="00DF6B87" w:rsidRDefault="00DF6B87" w:rsidP="00DF6B87">
      <w:pPr>
        <w:pStyle w:val="NoSpacing"/>
        <w:jc w:val="both"/>
        <w:rPr>
          <w:rFonts w:ascii="Arial" w:hAnsi="Arial" w:cs="Arial"/>
          <w:sz w:val="24"/>
        </w:rPr>
      </w:pPr>
      <w:r w:rsidRPr="00DF6B87">
        <w:rPr>
          <w:rFonts w:ascii="Arial" w:hAnsi="Arial" w:cs="Arial"/>
          <w:sz w:val="24"/>
        </w:rPr>
        <w:t>Конечно, морам да напоменам дека Владата на Република Македонија целосно ќе се држи кон ветеното така да субвенцијата по откупен и продаден тутун изнесува 60 денари.</w:t>
      </w:r>
    </w:p>
    <w:sectPr w:rsidR="00C43425" w:rsidRPr="00DF6B87"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6B87"/>
    <w:rsid w:val="003F2EF1"/>
    <w:rsid w:val="00C43425"/>
    <w:rsid w:val="00DF6B87"/>
    <w:rsid w:val="00F8644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B87"/>
    <w:pPr>
      <w:spacing w:after="0" w:line="240" w:lineRule="auto"/>
    </w:pPr>
  </w:style>
  <w:style w:type="paragraph" w:styleId="Footer">
    <w:name w:val="footer"/>
    <w:basedOn w:val="Normal"/>
    <w:link w:val="FooterChar"/>
    <w:rsid w:val="00DF6B87"/>
    <w:pPr>
      <w:tabs>
        <w:tab w:val="center" w:pos="4320"/>
        <w:tab w:val="right" w:pos="8640"/>
      </w:tabs>
      <w:spacing w:after="0" w:line="240" w:lineRule="auto"/>
    </w:pPr>
    <w:rPr>
      <w:rFonts w:ascii="MAC C Swiss" w:eastAsia="Times New Roman" w:hAnsi="MAC C Swiss" w:cs="Times New Roman"/>
      <w:sz w:val="24"/>
      <w:szCs w:val="24"/>
      <w:lang w:val="en-US"/>
    </w:rPr>
  </w:style>
  <w:style w:type="character" w:customStyle="1" w:styleId="FooterChar">
    <w:name w:val="Footer Char"/>
    <w:basedOn w:val="DefaultParagraphFont"/>
    <w:link w:val="Footer"/>
    <w:rsid w:val="00DF6B87"/>
    <w:rPr>
      <w:rFonts w:ascii="MAC C Swiss" w:eastAsia="Times New Roman" w:hAnsi="MAC C Swiss"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Company>Hewlett-Packard Company</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cp:revision>
  <dcterms:created xsi:type="dcterms:W3CDTF">2009-12-02T09:24:00Z</dcterms:created>
  <dcterms:modified xsi:type="dcterms:W3CDTF">2009-12-02T09:37:00Z</dcterms:modified>
</cp:coreProperties>
</file>